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5C1A8" w14:textId="32966C40" w:rsidR="001B5C8C" w:rsidRDefault="001B5C8C" w:rsidP="001B5C8C">
      <w:pPr>
        <w:jc w:val="both"/>
        <w:rPr>
          <w:rFonts w:ascii="Calibri" w:hAnsi="Calibri" w:cs="Calibri"/>
          <w:b/>
          <w:sz w:val="28"/>
          <w:szCs w:val="28"/>
        </w:rPr>
      </w:pPr>
      <w:r>
        <w:rPr>
          <w:noProof/>
        </w:rPr>
        <w:drawing>
          <wp:anchor distT="0" distB="0" distL="114300" distR="114300" simplePos="0" relativeHeight="251665408" behindDoc="0" locked="0" layoutInCell="1" allowOverlap="1" wp14:anchorId="20630042" wp14:editId="2D00D2AC">
            <wp:simplePos x="0" y="0"/>
            <wp:positionH relativeFrom="margin">
              <wp:posOffset>2409825</wp:posOffset>
            </wp:positionH>
            <wp:positionV relativeFrom="paragraph">
              <wp:posOffset>-880745</wp:posOffset>
            </wp:positionV>
            <wp:extent cx="781050" cy="78105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7EA16C1B" wp14:editId="24B3492B">
                <wp:simplePos x="0" y="0"/>
                <wp:positionH relativeFrom="page">
                  <wp:align>left</wp:align>
                </wp:positionH>
                <wp:positionV relativeFrom="paragraph">
                  <wp:posOffset>-727710</wp:posOffset>
                </wp:positionV>
                <wp:extent cx="7591425" cy="882015"/>
                <wp:effectExtent l="0" t="0" r="28575" b="1333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425" cy="882015"/>
                        </a:xfrm>
                        <a:prstGeom prst="rect">
                          <a:avLst/>
                        </a:prstGeom>
                        <a:solidFill>
                          <a:srgbClr val="404040"/>
                        </a:solidFill>
                        <a:ln w="9525">
                          <a:solidFill>
                            <a:srgbClr val="000000"/>
                          </a:solidFill>
                          <a:miter lim="800000"/>
                          <a:headEnd/>
                          <a:tailEnd/>
                        </a:ln>
                      </wps:spPr>
                      <wps:txbx>
                        <w:txbxContent>
                          <w:p w14:paraId="584BA6D2" w14:textId="77777777" w:rsidR="001B5C8C" w:rsidRPr="00D45E55" w:rsidRDefault="001B5C8C" w:rsidP="001B5C8C">
                            <w:pPr>
                              <w:rPr>
                                <w:rFonts w:ascii="Calibri" w:hAnsi="Calibri" w:cs="Calibri"/>
                                <w:b/>
                                <w:color w:val="FFFFFF"/>
                                <w:sz w:val="40"/>
                                <w:szCs w:val="40"/>
                              </w:rPr>
                            </w:pPr>
                          </w:p>
                          <w:p w14:paraId="694BAAEA" w14:textId="77777777" w:rsidR="001B5C8C" w:rsidRPr="001B5C8C" w:rsidRDefault="001B5C8C" w:rsidP="001B5C8C">
                            <w:pPr>
                              <w:jc w:val="center"/>
                              <w:rPr>
                                <w:rFonts w:ascii="Century Gothic" w:hAnsi="Century Gothic" w:cs="Calibri"/>
                                <w:b/>
                                <w:color w:val="FFFFFF"/>
                                <w:sz w:val="56"/>
                                <w:szCs w:val="56"/>
                              </w:rPr>
                            </w:pPr>
                            <w:r w:rsidRPr="001B5C8C">
                              <w:rPr>
                                <w:rFonts w:ascii="Century Gothic" w:hAnsi="Century Gothic" w:cs="Calibri"/>
                                <w:b/>
                                <w:color w:val="FFFFFF"/>
                                <w:sz w:val="56"/>
                                <w:szCs w:val="56"/>
                              </w:rPr>
                              <w:t>CHEMILUX CASCADE CONDENSATION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A16C1B" id="_x0000_t202" coordsize="21600,21600" o:spt="202" path="m,l,21600r21600,l21600,xe">
                <v:stroke joinstyle="miter"/>
                <v:path gradientshapeok="t" o:connecttype="rect"/>
              </v:shapetype>
              <v:shape id="Zone de texte 6" o:spid="_x0000_s1026" type="#_x0000_t202" style="position:absolute;left:0;text-align:left;margin-left:0;margin-top:-57.3pt;width:597.75pt;height:69.4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" fillcolor="#404040">
                <v:textbox>
                  <w:txbxContent>
                    <w:p w14:paraId="584BA6D2" w14:textId="77777777" w:rsidR="001B5C8C" w:rsidRPr="00D45E55" w:rsidRDefault="001B5C8C" w:rsidP="001B5C8C">
                      <w:pPr>
                        <w:rPr>
                          <w:rFonts w:ascii="Calibri" w:hAnsi="Calibri" w:cs="Calibri"/>
                          <w:b/>
                          <w:color w:val="FFFFFF"/>
                          <w:sz w:val="40"/>
                          <w:szCs w:val="40"/>
                        </w:rPr>
                      </w:pPr>
                    </w:p>
                    <w:p w14:paraId="694BAAEA" w14:textId="77777777" w:rsidR="001B5C8C" w:rsidRPr="001B5C8C" w:rsidRDefault="001B5C8C" w:rsidP="001B5C8C">
                      <w:pPr>
                        <w:jc w:val="center"/>
                        <w:rPr>
                          <w:rFonts w:ascii="Century Gothic" w:hAnsi="Century Gothic" w:cs="Calibri"/>
                          <w:b/>
                          <w:color w:val="FFFFFF"/>
                          <w:sz w:val="56"/>
                          <w:szCs w:val="56"/>
                        </w:rPr>
                      </w:pPr>
                      <w:r w:rsidRPr="001B5C8C">
                        <w:rPr>
                          <w:rFonts w:ascii="Century Gothic" w:hAnsi="Century Gothic" w:cs="Calibri"/>
                          <w:b/>
                          <w:color w:val="FFFFFF"/>
                          <w:sz w:val="56"/>
                          <w:szCs w:val="56"/>
                        </w:rPr>
                        <w:t>CHEMILUX CASCADE CONDENSATION</w:t>
                      </w:r>
                    </w:p>
                  </w:txbxContent>
                </v:textbox>
                <w10:wrap anchorx="page"/>
              </v:shape>
            </w:pict>
          </mc:Fallback>
        </mc:AlternateContent>
      </w:r>
    </w:p>
    <w:p w14:paraId="5E016897" w14:textId="55EE5164" w:rsidR="00557A3A" w:rsidRPr="00557A3A" w:rsidRDefault="00557A3A" w:rsidP="00557A3A">
      <w:pPr>
        <w:ind w:right="226"/>
        <w:rPr>
          <w:rFonts w:ascii="Century Gothic" w:hAnsi="Century Gothic" w:cs="Arial"/>
          <w:i/>
          <w:iCs/>
          <w:sz w:val="14"/>
          <w:szCs w:val="14"/>
        </w:rPr>
      </w:pPr>
      <w:r>
        <w:rPr>
          <w:rFonts w:ascii="Calibri" w:hAnsi="Calibri" w:cs="Calibri"/>
          <w:b/>
          <w:i/>
          <w:iCs/>
          <w:sz w:val="20"/>
          <w:szCs w:val="20"/>
        </w:rPr>
        <w:t>Version juin 2022</w:t>
      </w:r>
    </w:p>
    <w:p w14:paraId="1A630AFF" w14:textId="77163ECC" w:rsidR="001B5C8C" w:rsidRDefault="001B5C8C" w:rsidP="001B5C8C">
      <w:pPr>
        <w:tabs>
          <w:tab w:val="left" w:pos="2370"/>
        </w:tabs>
        <w:jc w:val="both"/>
        <w:rPr>
          <w:rFonts w:ascii="Calibri" w:hAnsi="Calibri" w:cs="Calibri"/>
          <w:b/>
          <w:sz w:val="28"/>
          <w:szCs w:val="28"/>
        </w:rPr>
      </w:pPr>
    </w:p>
    <w:p w14:paraId="64A99E9E" w14:textId="77777777" w:rsidR="001B5C8C" w:rsidRPr="001925CD" w:rsidRDefault="001B5C8C" w:rsidP="001B5C8C">
      <w:pPr>
        <w:jc w:val="both"/>
        <w:rPr>
          <w:rFonts w:ascii="Century Gothic" w:hAnsi="Century Gothic" w:cs="Calibri"/>
          <w:b/>
          <w:sz w:val="28"/>
          <w:szCs w:val="28"/>
        </w:rPr>
      </w:pPr>
      <w:r w:rsidRPr="001925CD">
        <w:rPr>
          <w:rFonts w:ascii="Arial" w:hAnsi="Arial" w:cs="Arial"/>
          <w:b/>
          <w:color w:val="7F7F7F"/>
          <w:sz w:val="40"/>
          <w:szCs w:val="40"/>
        </w:rPr>
        <w:t>˃</w:t>
      </w:r>
      <w:r w:rsidRPr="001925CD">
        <w:rPr>
          <w:rFonts w:ascii="Century Gothic" w:hAnsi="Century Gothic" w:cs="Calibri"/>
          <w:b/>
          <w:sz w:val="28"/>
          <w:szCs w:val="28"/>
        </w:rPr>
        <w:t xml:space="preserve"> </w:t>
      </w:r>
      <w:r w:rsidRPr="001925CD">
        <w:rPr>
          <w:rFonts w:ascii="Century Gothic" w:hAnsi="Century Gothic" w:cs="Calibri"/>
          <w:b/>
          <w:sz w:val="26"/>
          <w:szCs w:val="26"/>
        </w:rPr>
        <w:t>APPLICATION</w:t>
      </w:r>
    </w:p>
    <w:p w14:paraId="5A370643" w14:textId="2D3C82AD" w:rsidR="001B5C8C" w:rsidRPr="001925CD" w:rsidRDefault="001B5C8C" w:rsidP="001B5C8C">
      <w:pPr>
        <w:jc w:val="both"/>
        <w:rPr>
          <w:rFonts w:ascii="Century Gothic" w:hAnsi="Century Gothic" w:cs="Calibri"/>
          <w:b/>
          <w:sz w:val="10"/>
          <w:szCs w:val="10"/>
        </w:rPr>
      </w:pPr>
    </w:p>
    <w:p w14:paraId="0BF823A4" w14:textId="77777777" w:rsidR="001B5C8C" w:rsidRPr="001925CD" w:rsidRDefault="001B5C8C" w:rsidP="001B5C8C">
      <w:pPr>
        <w:ind w:right="226"/>
        <w:rPr>
          <w:rFonts w:ascii="Century Gothic" w:hAnsi="Century Gothic" w:cs="Arial"/>
          <w:sz w:val="20"/>
          <w:szCs w:val="20"/>
        </w:rPr>
      </w:pPr>
      <w:r w:rsidRPr="001925CD">
        <w:rPr>
          <w:rFonts w:ascii="Century Gothic" w:hAnsi="Century Gothic" w:cs="Arial"/>
          <w:sz w:val="20"/>
          <w:szCs w:val="20"/>
        </w:rPr>
        <w:t>Raccordement collectif non étanche de chaudières Condensation Gaz ou Fioul situées dans un même local ventilé.</w:t>
      </w:r>
    </w:p>
    <w:p w14:paraId="497C0240" w14:textId="77777777" w:rsidR="001B5C8C" w:rsidRPr="001925CD" w:rsidRDefault="001B5C8C" w:rsidP="001B5C8C">
      <w:pPr>
        <w:jc w:val="both"/>
        <w:rPr>
          <w:rFonts w:ascii="Century Gothic" w:hAnsi="Century Gothic"/>
          <w:b/>
          <w:bCs/>
          <w:color w:val="CB2D2F"/>
          <w:sz w:val="10"/>
          <w:szCs w:val="10"/>
        </w:rPr>
      </w:pPr>
    </w:p>
    <w:p w14:paraId="356F2984" w14:textId="0EBAE2AB" w:rsidR="001B5C8C" w:rsidRPr="001925CD" w:rsidRDefault="001B5C8C" w:rsidP="001B5C8C">
      <w:pPr>
        <w:jc w:val="both"/>
        <w:rPr>
          <w:rFonts w:ascii="Century Gothic" w:hAnsi="Century Gothic" w:cs="Calibri"/>
          <w:b/>
          <w:sz w:val="28"/>
          <w:szCs w:val="28"/>
        </w:rPr>
      </w:pPr>
      <w:r w:rsidRPr="001925CD">
        <w:rPr>
          <w:rFonts w:ascii="Arial" w:hAnsi="Arial" w:cs="Arial"/>
          <w:b/>
          <w:color w:val="7F7F7F"/>
          <w:sz w:val="40"/>
          <w:szCs w:val="40"/>
        </w:rPr>
        <w:t>˃</w:t>
      </w:r>
      <w:r w:rsidRPr="001925CD">
        <w:rPr>
          <w:rFonts w:ascii="Century Gothic" w:hAnsi="Century Gothic" w:cs="Calibri"/>
          <w:b/>
          <w:sz w:val="28"/>
          <w:szCs w:val="28"/>
        </w:rPr>
        <w:t xml:space="preserve"> </w:t>
      </w:r>
      <w:r w:rsidRPr="001925CD">
        <w:rPr>
          <w:rFonts w:ascii="Century Gothic" w:hAnsi="Century Gothic" w:cs="Calibri"/>
          <w:b/>
          <w:sz w:val="26"/>
          <w:szCs w:val="26"/>
        </w:rPr>
        <w:t>TYPES D’APPAREILS RACCORDÉS</w:t>
      </w:r>
    </w:p>
    <w:p w14:paraId="049885BF" w14:textId="77777777" w:rsidR="001B5C8C" w:rsidRPr="001925CD" w:rsidRDefault="001B5C8C" w:rsidP="001B5C8C">
      <w:pPr>
        <w:jc w:val="both"/>
        <w:rPr>
          <w:rFonts w:ascii="Century Gothic" w:hAnsi="Century Gothic" w:cs="Calibri"/>
          <w:b/>
          <w:bCs/>
          <w:color w:val="CB2D2F"/>
          <w:sz w:val="10"/>
          <w:szCs w:val="10"/>
        </w:rPr>
      </w:pPr>
    </w:p>
    <w:p w14:paraId="6A4FAD3A" w14:textId="2F90A696"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 xml:space="preserve">Le système </w:t>
      </w:r>
      <w:r w:rsidRPr="001925CD">
        <w:rPr>
          <w:rFonts w:ascii="Century Gothic" w:hAnsi="Century Gothic" w:cs="Arial"/>
          <w:i/>
          <w:sz w:val="20"/>
          <w:szCs w:val="20"/>
        </w:rPr>
        <w:t>Chemilux Cascade</w:t>
      </w:r>
      <w:r w:rsidRPr="001925CD">
        <w:rPr>
          <w:rFonts w:ascii="Century Gothic" w:hAnsi="Century Gothic" w:cs="Arial"/>
          <w:sz w:val="20"/>
          <w:szCs w:val="20"/>
        </w:rPr>
        <w:t xml:space="preserve"> est un système collectif d’évacuation des produits de combustion permettant de desservir des générateurs Condensation Gaz ou Fioul de type B2p ou B2 et dont le conduit d’évacuation des produits de combustion fonctionnera en pression ou en tirage naturel. La puissance calorifique maximale de chaque appareil sera de 400 kW, la pression à la buse devra être inférieure ou égale à 200 Pa et la température maximale des produits de combustion sera de 120°C.</w:t>
      </w:r>
    </w:p>
    <w:p w14:paraId="0DB576CB" w14:textId="77777777" w:rsidR="001B5C8C" w:rsidRPr="001925CD" w:rsidRDefault="001B5C8C" w:rsidP="001B5C8C">
      <w:pPr>
        <w:jc w:val="both"/>
        <w:rPr>
          <w:rFonts w:ascii="Century Gothic" w:hAnsi="Century Gothic"/>
          <w:sz w:val="10"/>
          <w:szCs w:val="10"/>
        </w:rPr>
      </w:pPr>
    </w:p>
    <w:p w14:paraId="059B12BB" w14:textId="77777777" w:rsidR="001B5C8C" w:rsidRPr="001925CD" w:rsidRDefault="001B5C8C" w:rsidP="001B5C8C">
      <w:pPr>
        <w:jc w:val="both"/>
        <w:rPr>
          <w:rFonts w:ascii="Century Gothic" w:hAnsi="Century Gothic" w:cs="Calibri"/>
          <w:b/>
          <w:sz w:val="28"/>
          <w:szCs w:val="28"/>
        </w:rPr>
      </w:pPr>
      <w:r w:rsidRPr="001925CD">
        <w:rPr>
          <w:rFonts w:ascii="Arial" w:hAnsi="Arial" w:cs="Arial"/>
          <w:b/>
          <w:color w:val="7F7F7F"/>
          <w:sz w:val="40"/>
          <w:szCs w:val="40"/>
        </w:rPr>
        <w:t>˃</w:t>
      </w:r>
      <w:r w:rsidRPr="001925CD">
        <w:rPr>
          <w:rFonts w:ascii="Century Gothic" w:hAnsi="Century Gothic" w:cs="Calibri"/>
          <w:b/>
          <w:sz w:val="28"/>
          <w:szCs w:val="28"/>
        </w:rPr>
        <w:t xml:space="preserve"> </w:t>
      </w:r>
      <w:r w:rsidRPr="001925CD">
        <w:rPr>
          <w:rFonts w:ascii="Century Gothic" w:hAnsi="Century Gothic" w:cs="Calibri"/>
          <w:b/>
          <w:sz w:val="26"/>
          <w:szCs w:val="26"/>
        </w:rPr>
        <w:t>FONCTIONNEMENT</w:t>
      </w:r>
    </w:p>
    <w:p w14:paraId="292A4044"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 xml:space="preserve">Le système </w:t>
      </w:r>
      <w:r w:rsidRPr="001925CD">
        <w:rPr>
          <w:rFonts w:ascii="Century Gothic" w:hAnsi="Century Gothic" w:cs="Arial"/>
          <w:i/>
          <w:sz w:val="20"/>
          <w:szCs w:val="20"/>
        </w:rPr>
        <w:t>Chemilux Cascade</w:t>
      </w:r>
      <w:r w:rsidRPr="001925CD">
        <w:rPr>
          <w:rFonts w:ascii="Century Gothic" w:hAnsi="Century Gothic" w:cs="Arial"/>
          <w:sz w:val="20"/>
          <w:szCs w:val="20"/>
        </w:rPr>
        <w:t xml:space="preserve"> est composé essentiellement d’un conduit collecteur horizontal en Polypropylène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 xml:space="preserve">) et d’un conduit vertical qui assurera l’évacuation des produits de combustion, soit au sein du boisseau existant (Conduit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 xml:space="preserve">), soit à l’extérieur du bâtiment (Conduit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 xml:space="preserve">/Inox), soit au sein d’une gaine technique (conduit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/Inox).</w:t>
      </w:r>
    </w:p>
    <w:p w14:paraId="54F02A3F" w14:textId="77777777" w:rsidR="001B5C8C" w:rsidRPr="001925CD" w:rsidRDefault="001B5C8C" w:rsidP="001B5C8C">
      <w:pPr>
        <w:ind w:right="-2"/>
        <w:jc w:val="both"/>
        <w:rPr>
          <w:rFonts w:ascii="Century Gothic" w:hAnsi="Century Gothic" w:cs="Arial"/>
          <w:sz w:val="6"/>
          <w:szCs w:val="6"/>
        </w:rPr>
      </w:pPr>
    </w:p>
    <w:p w14:paraId="1C919FE9"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Le conduit collecteur devra être installé avec une pente descendante de 3% vers le tampon de visite qui est muni d’un récupérateur de condensats.</w:t>
      </w:r>
    </w:p>
    <w:p w14:paraId="19B06C23" w14:textId="77777777" w:rsidR="001B5C8C" w:rsidRPr="001925CD" w:rsidRDefault="001B5C8C" w:rsidP="001B5C8C">
      <w:pPr>
        <w:ind w:right="-2"/>
        <w:jc w:val="both"/>
        <w:rPr>
          <w:rFonts w:ascii="Century Gothic" w:hAnsi="Century Gothic" w:cs="Arial"/>
          <w:sz w:val="6"/>
          <w:szCs w:val="6"/>
        </w:rPr>
      </w:pPr>
    </w:p>
    <w:p w14:paraId="203140ED"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 xml:space="preserve">L’air comburant sera prélevé dans le local ventilé où se situeront les appareils. </w:t>
      </w:r>
    </w:p>
    <w:p w14:paraId="1C947F25" w14:textId="77777777" w:rsidR="001B5C8C" w:rsidRPr="001925CD" w:rsidRDefault="001B5C8C" w:rsidP="001B5C8C">
      <w:pPr>
        <w:ind w:right="-2"/>
        <w:jc w:val="both"/>
        <w:rPr>
          <w:rFonts w:ascii="Century Gothic" w:hAnsi="Century Gothic" w:cs="Arial"/>
          <w:sz w:val="6"/>
          <w:szCs w:val="6"/>
        </w:rPr>
      </w:pPr>
    </w:p>
    <w:p w14:paraId="07DE6704"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Un accès de visite sera prévu sur le conduit collecteur et sur le conduit de raccordement de chaque appareil.</w:t>
      </w:r>
    </w:p>
    <w:p w14:paraId="7A22BD3F" w14:textId="77777777" w:rsidR="001B5C8C" w:rsidRPr="001925CD" w:rsidRDefault="001B5C8C" w:rsidP="001B5C8C">
      <w:pPr>
        <w:ind w:right="-2"/>
        <w:jc w:val="both"/>
        <w:rPr>
          <w:rFonts w:ascii="Century Gothic" w:hAnsi="Century Gothic" w:cs="Arial"/>
          <w:sz w:val="6"/>
          <w:szCs w:val="6"/>
        </w:rPr>
      </w:pPr>
    </w:p>
    <w:p w14:paraId="21C30DF4"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L’installation peut fonctionner en pression négative ou en pression positive.</w:t>
      </w:r>
    </w:p>
    <w:p w14:paraId="52FB0B0D" w14:textId="77777777" w:rsidR="001B5C8C" w:rsidRPr="001925CD" w:rsidRDefault="001B5C8C" w:rsidP="001B5C8C">
      <w:pPr>
        <w:ind w:right="-2"/>
        <w:jc w:val="both"/>
        <w:rPr>
          <w:rFonts w:ascii="Century Gothic" w:hAnsi="Century Gothic" w:cs="Arial"/>
          <w:sz w:val="6"/>
          <w:szCs w:val="6"/>
        </w:rPr>
      </w:pPr>
    </w:p>
    <w:p w14:paraId="03E3E185"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 xml:space="preserve">En pression positive et selon la configuration, chaque appareil sera équipé d’un dispositif anti-retour (intérieur ou extérieur) compatible avec le système </w:t>
      </w:r>
      <w:r w:rsidRPr="001925CD">
        <w:rPr>
          <w:rFonts w:ascii="Century Gothic" w:hAnsi="Century Gothic" w:cs="Arial"/>
          <w:i/>
          <w:sz w:val="20"/>
          <w:szCs w:val="20"/>
        </w:rPr>
        <w:t>Chemilux Cascade</w:t>
      </w:r>
      <w:r w:rsidRPr="001925CD">
        <w:rPr>
          <w:rFonts w:ascii="Century Gothic" w:hAnsi="Century Gothic" w:cs="Arial"/>
          <w:sz w:val="20"/>
          <w:szCs w:val="20"/>
        </w:rPr>
        <w:t xml:space="preserve"> et garantissant l’étanchéité du système en cas de non-fonctionnement de l’appareil. Une grille anti-volatile sera installée en haut de conduit vertical.</w:t>
      </w:r>
    </w:p>
    <w:p w14:paraId="584F5F17" w14:textId="77777777" w:rsidR="001B5C8C" w:rsidRPr="001925CD" w:rsidRDefault="001B5C8C" w:rsidP="001B5C8C">
      <w:pPr>
        <w:ind w:right="-2"/>
        <w:jc w:val="both"/>
        <w:rPr>
          <w:rFonts w:ascii="Century Gothic" w:hAnsi="Century Gothic" w:cs="Arial"/>
          <w:sz w:val="6"/>
          <w:szCs w:val="6"/>
        </w:rPr>
      </w:pPr>
    </w:p>
    <w:p w14:paraId="77FFE2E6" w14:textId="77777777" w:rsidR="001B5C8C" w:rsidRPr="001925CD" w:rsidRDefault="001B5C8C" w:rsidP="001B5C8C">
      <w:pPr>
        <w:ind w:right="-2"/>
        <w:jc w:val="both"/>
        <w:rPr>
          <w:rFonts w:ascii="Century Gothic" w:hAnsi="Century Gothic" w:cs="Arial"/>
          <w:sz w:val="20"/>
          <w:szCs w:val="20"/>
        </w:rPr>
      </w:pPr>
      <w:r w:rsidRPr="001925CD">
        <w:rPr>
          <w:rFonts w:ascii="Century Gothic" w:hAnsi="Century Gothic" w:cs="Arial"/>
          <w:sz w:val="20"/>
          <w:szCs w:val="20"/>
        </w:rPr>
        <w:t>En pression négative un té de purge sera installé en bas de conduit vertical.</w:t>
      </w:r>
    </w:p>
    <w:p w14:paraId="2EB080D3" w14:textId="213B4AF0" w:rsidR="001B5C8C" w:rsidRDefault="001B5C8C" w:rsidP="001B5C8C">
      <w:pPr>
        <w:jc w:val="both"/>
        <w:rPr>
          <w:rFonts w:ascii="Arial" w:hAnsi="Arial" w:cs="Arial"/>
          <w:b/>
          <w:color w:val="7F7F7F"/>
          <w:sz w:val="40"/>
          <w:szCs w:val="40"/>
        </w:rPr>
      </w:pPr>
      <w:r w:rsidRPr="001925CD">
        <w:rPr>
          <w:rFonts w:ascii="Century Gothic" w:hAnsi="Century Gothic"/>
          <w:noProof/>
        </w:rPr>
        <w:lastRenderedPageBreak/>
        <w:drawing>
          <wp:anchor distT="0" distB="0" distL="114300" distR="114300" simplePos="0" relativeHeight="251660288" behindDoc="0" locked="0" layoutInCell="1" allowOverlap="1" wp14:anchorId="11BD4E9C" wp14:editId="629C4CCD">
            <wp:simplePos x="0" y="0"/>
            <wp:positionH relativeFrom="column">
              <wp:posOffset>4714240</wp:posOffset>
            </wp:positionH>
            <wp:positionV relativeFrom="paragraph">
              <wp:posOffset>313055</wp:posOffset>
            </wp:positionV>
            <wp:extent cx="2214245" cy="350520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14245" cy="350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AEE73" w14:textId="77777777" w:rsidR="001B5C8C" w:rsidRPr="001925CD" w:rsidRDefault="001B5C8C" w:rsidP="001B5C8C">
      <w:pPr>
        <w:jc w:val="both"/>
        <w:rPr>
          <w:rFonts w:ascii="Century Gothic" w:hAnsi="Century Gothic" w:cs="Calibri"/>
          <w:b/>
          <w:sz w:val="28"/>
          <w:szCs w:val="28"/>
        </w:rPr>
      </w:pPr>
      <w:r w:rsidRPr="001925CD">
        <w:rPr>
          <w:rFonts w:ascii="Arial" w:hAnsi="Arial" w:cs="Arial"/>
          <w:b/>
          <w:color w:val="7F7F7F"/>
          <w:sz w:val="40"/>
          <w:szCs w:val="40"/>
        </w:rPr>
        <w:t>˃</w:t>
      </w:r>
      <w:r w:rsidRPr="001925CD">
        <w:rPr>
          <w:rFonts w:ascii="Century Gothic" w:hAnsi="Century Gothic" w:cs="Calibri"/>
          <w:b/>
          <w:sz w:val="28"/>
          <w:szCs w:val="28"/>
        </w:rPr>
        <w:t xml:space="preserve"> </w:t>
      </w:r>
      <w:r w:rsidRPr="001925CD">
        <w:rPr>
          <w:rFonts w:ascii="Century Gothic" w:hAnsi="Century Gothic" w:cs="Calibri"/>
          <w:b/>
          <w:sz w:val="26"/>
          <w:szCs w:val="26"/>
        </w:rPr>
        <w:t>ÉLÉMENTS CONSTITUTIFS DU SYSTÈME</w:t>
      </w:r>
    </w:p>
    <w:p w14:paraId="09AA9CC7" w14:textId="77777777" w:rsidR="001B5C8C" w:rsidRPr="001925CD" w:rsidRDefault="001B5C8C" w:rsidP="001B5C8C">
      <w:pPr>
        <w:jc w:val="both"/>
        <w:rPr>
          <w:rFonts w:ascii="Century Gothic" w:hAnsi="Century Gothic" w:cs="Calibri"/>
          <w:bCs/>
          <w:color w:val="CB2D2F"/>
          <w:sz w:val="10"/>
          <w:szCs w:val="10"/>
        </w:rPr>
      </w:pPr>
    </w:p>
    <w:p w14:paraId="714D4074" w14:textId="77777777" w:rsidR="001B5C8C" w:rsidRPr="001925CD" w:rsidRDefault="001B5C8C" w:rsidP="001B5C8C">
      <w:pPr>
        <w:jc w:val="both"/>
        <w:rPr>
          <w:rFonts w:ascii="Century Gothic" w:hAnsi="Century Gothic" w:cs="Calibri"/>
          <w:i/>
          <w:sz w:val="20"/>
          <w:szCs w:val="20"/>
        </w:rPr>
      </w:pPr>
      <w:r w:rsidRPr="001925CD">
        <w:rPr>
          <w:rFonts w:ascii="Century Gothic" w:hAnsi="Century Gothic" w:cs="Calibri"/>
          <w:i/>
          <w:sz w:val="20"/>
          <w:szCs w:val="20"/>
        </w:rPr>
        <w:t>Conduit de raccordement</w:t>
      </w:r>
    </w:p>
    <w:p w14:paraId="3BAE8AE4" w14:textId="77777777" w:rsidR="001B5C8C" w:rsidRPr="001925CD" w:rsidRDefault="001B5C8C" w:rsidP="001B5C8C">
      <w:pPr>
        <w:numPr>
          <w:ilvl w:val="0"/>
          <w:numId w:val="1"/>
        </w:numPr>
        <w:rPr>
          <w:rFonts w:ascii="Century Gothic" w:hAnsi="Century Gothic" w:cs="Arial"/>
          <w:sz w:val="20"/>
          <w:szCs w:val="20"/>
        </w:rPr>
      </w:pPr>
      <w:r w:rsidRPr="001925CD">
        <w:rPr>
          <w:rFonts w:ascii="Century Gothic" w:hAnsi="Century Gothic" w:cs="Arial"/>
          <w:sz w:val="20"/>
          <w:szCs w:val="20"/>
        </w:rPr>
        <w:t>Conduit (</w:t>
      </w:r>
      <w:proofErr w:type="spellStart"/>
      <w:r w:rsidRPr="001925CD">
        <w:rPr>
          <w:rFonts w:ascii="Century Gothic" w:hAnsi="Century Gothic" w:cs="Arial"/>
          <w:sz w:val="20"/>
          <w:szCs w:val="20"/>
        </w:rPr>
        <w:t>recoupable</w:t>
      </w:r>
      <w:proofErr w:type="spellEnd"/>
      <w:r w:rsidRPr="001925CD">
        <w:rPr>
          <w:rFonts w:ascii="Century Gothic" w:hAnsi="Century Gothic" w:cs="Arial"/>
          <w:sz w:val="20"/>
          <w:szCs w:val="20"/>
        </w:rPr>
        <w:t>) en Polypropylène Translucide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w:t>
      </w:r>
      <w:r w:rsidRPr="001925CD">
        <w:rPr>
          <w:rStyle w:val="Normal"/>
          <w:rFonts w:ascii="Century Gothic" w:hAnsi="Century Gothic"/>
          <w:snapToGrid w:val="0"/>
          <w:color w:val="000000"/>
          <w:w w:val="0"/>
          <w:sz w:val="0"/>
          <w:szCs w:val="0"/>
          <w:u w:color="000000"/>
          <w:bdr w:val="none" w:sz="0" w:space="0" w:color="000000"/>
          <w:shd w:val="clear" w:color="000000" w:fill="000000"/>
          <w:lang w:val="x-none" w:eastAsia="x-none" w:bidi="x-none"/>
        </w:rPr>
        <w:t xml:space="preserve"> </w:t>
      </w:r>
    </w:p>
    <w:p w14:paraId="32132445" w14:textId="77777777" w:rsidR="001B5C8C" w:rsidRPr="001925CD" w:rsidRDefault="001B5C8C" w:rsidP="001B5C8C">
      <w:pPr>
        <w:numPr>
          <w:ilvl w:val="0"/>
          <w:numId w:val="1"/>
        </w:numPr>
        <w:rPr>
          <w:rFonts w:ascii="Century Gothic" w:hAnsi="Century Gothic" w:cs="Arial"/>
          <w:sz w:val="20"/>
          <w:szCs w:val="20"/>
        </w:rPr>
      </w:pPr>
      <w:r w:rsidRPr="001925CD">
        <w:rPr>
          <w:rFonts w:ascii="Century Gothic" w:hAnsi="Century Gothic" w:cs="Arial"/>
          <w:sz w:val="20"/>
          <w:szCs w:val="20"/>
        </w:rPr>
        <w:t>Un coude de visite</w:t>
      </w:r>
    </w:p>
    <w:p w14:paraId="236343EF" w14:textId="77777777" w:rsidR="001B5C8C" w:rsidRPr="001925CD" w:rsidRDefault="001B5C8C" w:rsidP="001B5C8C">
      <w:pPr>
        <w:numPr>
          <w:ilvl w:val="0"/>
          <w:numId w:val="1"/>
        </w:numPr>
        <w:rPr>
          <w:rFonts w:ascii="Century Gothic" w:hAnsi="Century Gothic" w:cs="Arial"/>
          <w:sz w:val="20"/>
          <w:szCs w:val="20"/>
        </w:rPr>
      </w:pPr>
      <w:r w:rsidRPr="001925CD">
        <w:rPr>
          <w:rFonts w:ascii="Century Gothic" w:hAnsi="Century Gothic" w:cs="Arial"/>
          <w:sz w:val="20"/>
          <w:szCs w:val="20"/>
        </w:rPr>
        <w:t>Un dispositif anti-retour (selon configuration)</w:t>
      </w:r>
    </w:p>
    <w:p w14:paraId="3231EBA3" w14:textId="77777777" w:rsidR="001B5C8C" w:rsidRPr="001925CD" w:rsidRDefault="001B5C8C" w:rsidP="001B5C8C">
      <w:pPr>
        <w:jc w:val="both"/>
        <w:rPr>
          <w:rFonts w:ascii="Century Gothic" w:hAnsi="Century Gothic" w:cs="Calibri"/>
          <w:i/>
          <w:sz w:val="20"/>
          <w:szCs w:val="20"/>
        </w:rPr>
      </w:pPr>
    </w:p>
    <w:p w14:paraId="40298E74" w14:textId="77777777" w:rsidR="001B5C8C" w:rsidRPr="001925CD" w:rsidRDefault="001B5C8C" w:rsidP="001B5C8C">
      <w:pPr>
        <w:jc w:val="both"/>
        <w:rPr>
          <w:rFonts w:ascii="Century Gothic" w:hAnsi="Century Gothic" w:cs="Calibri"/>
          <w:i/>
          <w:sz w:val="20"/>
          <w:szCs w:val="20"/>
        </w:rPr>
      </w:pPr>
      <w:r w:rsidRPr="001925CD">
        <w:rPr>
          <w:rFonts w:ascii="Century Gothic" w:hAnsi="Century Gothic" w:cs="Calibri"/>
          <w:i/>
          <w:sz w:val="20"/>
          <w:szCs w:val="20"/>
        </w:rPr>
        <w:t>Conduit collecteur :</w:t>
      </w:r>
    </w:p>
    <w:p w14:paraId="154AC180" w14:textId="77777777" w:rsidR="001B5C8C" w:rsidRPr="001925CD" w:rsidRDefault="001B5C8C" w:rsidP="001B5C8C">
      <w:pPr>
        <w:numPr>
          <w:ilvl w:val="0"/>
          <w:numId w:val="2"/>
        </w:numPr>
        <w:rPr>
          <w:rFonts w:ascii="Century Gothic" w:hAnsi="Century Gothic" w:cs="Arial"/>
          <w:sz w:val="20"/>
          <w:szCs w:val="20"/>
        </w:rPr>
      </w:pPr>
      <w:r w:rsidRPr="001925CD">
        <w:rPr>
          <w:rFonts w:ascii="Century Gothic" w:hAnsi="Century Gothic" w:cs="Arial"/>
          <w:sz w:val="20"/>
          <w:szCs w:val="20"/>
        </w:rPr>
        <w:t>Conduit (</w:t>
      </w:r>
      <w:proofErr w:type="spellStart"/>
      <w:r w:rsidRPr="001925CD">
        <w:rPr>
          <w:rFonts w:ascii="Century Gothic" w:hAnsi="Century Gothic" w:cs="Arial"/>
          <w:sz w:val="20"/>
          <w:szCs w:val="20"/>
        </w:rPr>
        <w:t>recoupable</w:t>
      </w:r>
      <w:proofErr w:type="spellEnd"/>
      <w:r w:rsidRPr="001925CD">
        <w:rPr>
          <w:rFonts w:ascii="Century Gothic" w:hAnsi="Century Gothic" w:cs="Arial"/>
          <w:sz w:val="20"/>
          <w:szCs w:val="20"/>
        </w:rPr>
        <w:t>) en Polypropylène Translucide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w:t>
      </w:r>
    </w:p>
    <w:p w14:paraId="6FEDF84E" w14:textId="77777777" w:rsidR="001B5C8C" w:rsidRPr="001925CD" w:rsidRDefault="001B5C8C" w:rsidP="001B5C8C">
      <w:pPr>
        <w:numPr>
          <w:ilvl w:val="0"/>
          <w:numId w:val="2"/>
        </w:numPr>
        <w:rPr>
          <w:rFonts w:ascii="Century Gothic" w:hAnsi="Century Gothic" w:cs="Arial"/>
          <w:sz w:val="20"/>
          <w:szCs w:val="20"/>
        </w:rPr>
      </w:pPr>
      <w:r w:rsidRPr="001925CD">
        <w:rPr>
          <w:rFonts w:ascii="Century Gothic" w:hAnsi="Century Gothic" w:cs="Arial"/>
          <w:sz w:val="20"/>
          <w:szCs w:val="20"/>
        </w:rPr>
        <w:t>Un tampon de visite avec récupérateur de condensats</w:t>
      </w:r>
    </w:p>
    <w:p w14:paraId="175BBA01" w14:textId="77777777" w:rsidR="001B5C8C" w:rsidRPr="001925CD" w:rsidRDefault="001B5C8C" w:rsidP="001B5C8C">
      <w:pPr>
        <w:numPr>
          <w:ilvl w:val="0"/>
          <w:numId w:val="2"/>
        </w:numPr>
        <w:rPr>
          <w:rFonts w:ascii="Century Gothic" w:hAnsi="Century Gothic" w:cs="Arial"/>
          <w:sz w:val="20"/>
          <w:szCs w:val="20"/>
        </w:rPr>
      </w:pPr>
      <w:r w:rsidRPr="001925CD">
        <w:rPr>
          <w:rFonts w:ascii="Century Gothic" w:hAnsi="Century Gothic" w:cs="Arial"/>
          <w:sz w:val="20"/>
          <w:szCs w:val="20"/>
        </w:rPr>
        <w:t>Tés de piquage pour le raccordement des appareils</w:t>
      </w:r>
    </w:p>
    <w:p w14:paraId="34FB80F8" w14:textId="77777777" w:rsidR="001B5C8C" w:rsidRPr="001925CD" w:rsidRDefault="001B5C8C" w:rsidP="001B5C8C">
      <w:pPr>
        <w:jc w:val="both"/>
        <w:rPr>
          <w:rFonts w:ascii="Century Gothic" w:hAnsi="Century Gothic" w:cs="Calibri"/>
          <w:sz w:val="20"/>
          <w:szCs w:val="20"/>
        </w:rPr>
      </w:pPr>
    </w:p>
    <w:p w14:paraId="2F8F844F" w14:textId="77777777" w:rsidR="001B5C8C" w:rsidRPr="001925CD" w:rsidRDefault="001B5C8C" w:rsidP="001B5C8C">
      <w:pPr>
        <w:jc w:val="both"/>
        <w:rPr>
          <w:rFonts w:ascii="Century Gothic" w:hAnsi="Century Gothic" w:cs="Arial"/>
          <w:i/>
          <w:sz w:val="20"/>
          <w:szCs w:val="20"/>
        </w:rPr>
      </w:pPr>
      <w:r w:rsidRPr="001925CD">
        <w:rPr>
          <w:rFonts w:ascii="Century Gothic" w:hAnsi="Century Gothic" w:cs="Arial"/>
          <w:i/>
          <w:sz w:val="20"/>
          <w:szCs w:val="20"/>
        </w:rPr>
        <w:t xml:space="preserve">Conduit vertical : </w:t>
      </w:r>
    </w:p>
    <w:p w14:paraId="2FD398DA" w14:textId="77777777" w:rsidR="001B5C8C" w:rsidRPr="001925CD" w:rsidRDefault="001B5C8C" w:rsidP="001B5C8C">
      <w:pPr>
        <w:numPr>
          <w:ilvl w:val="0"/>
          <w:numId w:val="3"/>
        </w:numPr>
        <w:rPr>
          <w:rFonts w:ascii="Century Gothic" w:hAnsi="Century Gothic" w:cs="Arial"/>
          <w:sz w:val="20"/>
          <w:szCs w:val="20"/>
        </w:rPr>
      </w:pPr>
      <w:r w:rsidRPr="001925CD">
        <w:rPr>
          <w:rFonts w:ascii="Century Gothic" w:hAnsi="Century Gothic" w:cs="Arial"/>
          <w:sz w:val="20"/>
          <w:szCs w:val="20"/>
        </w:rPr>
        <w:t>Conduit (</w:t>
      </w:r>
      <w:proofErr w:type="spellStart"/>
      <w:r w:rsidRPr="001925CD">
        <w:rPr>
          <w:rFonts w:ascii="Century Gothic" w:hAnsi="Century Gothic" w:cs="Arial"/>
          <w:sz w:val="20"/>
          <w:szCs w:val="20"/>
        </w:rPr>
        <w:t>recoupable</w:t>
      </w:r>
      <w:proofErr w:type="spellEnd"/>
      <w:r w:rsidRPr="001925CD">
        <w:rPr>
          <w:rFonts w:ascii="Century Gothic" w:hAnsi="Century Gothic" w:cs="Arial"/>
          <w:sz w:val="20"/>
          <w:szCs w:val="20"/>
        </w:rPr>
        <w:t>) en Polypropylène Translucide (</w:t>
      </w:r>
      <w:proofErr w:type="spellStart"/>
      <w:r w:rsidRPr="001925CD">
        <w:rPr>
          <w:rFonts w:ascii="Century Gothic" w:hAnsi="Century Gothic" w:cs="Arial"/>
          <w:sz w:val="20"/>
          <w:szCs w:val="20"/>
        </w:rPr>
        <w:t>PPtl</w:t>
      </w:r>
      <w:proofErr w:type="spellEnd"/>
      <w:r w:rsidRPr="001925CD">
        <w:rPr>
          <w:rFonts w:ascii="Century Gothic" w:hAnsi="Century Gothic" w:cs="Arial"/>
          <w:sz w:val="20"/>
          <w:szCs w:val="20"/>
        </w:rPr>
        <w:t>)</w:t>
      </w:r>
    </w:p>
    <w:p w14:paraId="639BA7FA" w14:textId="77777777" w:rsidR="001B5C8C" w:rsidRPr="001925CD" w:rsidRDefault="001B5C8C" w:rsidP="001B5C8C">
      <w:pPr>
        <w:numPr>
          <w:ilvl w:val="0"/>
          <w:numId w:val="3"/>
        </w:numPr>
        <w:rPr>
          <w:rFonts w:ascii="Century Gothic" w:hAnsi="Century Gothic" w:cs="Arial"/>
          <w:sz w:val="20"/>
          <w:szCs w:val="20"/>
        </w:rPr>
      </w:pPr>
      <w:r w:rsidRPr="001925CD">
        <w:rPr>
          <w:rFonts w:ascii="Century Gothic" w:hAnsi="Century Gothic" w:cs="Arial"/>
          <w:sz w:val="20"/>
          <w:szCs w:val="20"/>
        </w:rPr>
        <w:t>Un couvre-cheminée ou terminal</w:t>
      </w:r>
    </w:p>
    <w:p w14:paraId="65881848" w14:textId="77777777" w:rsidR="001B5C8C" w:rsidRPr="001925CD" w:rsidRDefault="001B5C8C" w:rsidP="001B5C8C">
      <w:pPr>
        <w:numPr>
          <w:ilvl w:val="0"/>
          <w:numId w:val="3"/>
        </w:numPr>
        <w:rPr>
          <w:rFonts w:ascii="Century Gothic" w:hAnsi="Century Gothic" w:cs="Arial"/>
          <w:sz w:val="20"/>
          <w:szCs w:val="20"/>
        </w:rPr>
      </w:pPr>
      <w:r w:rsidRPr="001925CD">
        <w:rPr>
          <w:rFonts w:ascii="Century Gothic" w:hAnsi="Century Gothic" w:cs="Arial"/>
          <w:sz w:val="20"/>
          <w:szCs w:val="20"/>
        </w:rPr>
        <w:t>Un té de purge ou un coude et une grille anti-volatile (selon configuration)</w:t>
      </w:r>
    </w:p>
    <w:p w14:paraId="311862AA" w14:textId="77777777" w:rsidR="001B5C8C" w:rsidRPr="001925CD" w:rsidRDefault="001B5C8C" w:rsidP="001B5C8C">
      <w:pPr>
        <w:numPr>
          <w:ilvl w:val="0"/>
          <w:numId w:val="3"/>
        </w:numPr>
        <w:rPr>
          <w:rFonts w:ascii="Century Gothic" w:hAnsi="Century Gothic" w:cs="Arial"/>
          <w:sz w:val="20"/>
          <w:szCs w:val="20"/>
        </w:rPr>
      </w:pPr>
      <w:r w:rsidRPr="001925CD">
        <w:rPr>
          <w:rFonts w:ascii="Century Gothic" w:hAnsi="Century Gothic" w:cs="Arial"/>
          <w:sz w:val="20"/>
          <w:szCs w:val="20"/>
        </w:rPr>
        <w:t>Un solin à embase plate assurant l’étanchéité en sortie de boisseau (rénovation)</w:t>
      </w:r>
    </w:p>
    <w:p w14:paraId="0F8DEBCD" w14:textId="77777777" w:rsidR="001B5C8C" w:rsidRDefault="001B5C8C" w:rsidP="001B5C8C">
      <w:pPr>
        <w:jc w:val="both"/>
        <w:rPr>
          <w:rFonts w:ascii="Arial" w:hAnsi="Arial" w:cs="Arial"/>
          <w:b/>
          <w:color w:val="7F7F7F"/>
          <w:sz w:val="40"/>
          <w:szCs w:val="40"/>
        </w:rPr>
      </w:pPr>
    </w:p>
    <w:p w14:paraId="529BDB5B" w14:textId="27727B81" w:rsidR="001B5C8C" w:rsidRPr="001925CD" w:rsidRDefault="001B5C8C" w:rsidP="001B5C8C">
      <w:pPr>
        <w:jc w:val="both"/>
        <w:rPr>
          <w:rFonts w:ascii="Century Gothic" w:hAnsi="Century Gothic" w:cs="Calibri"/>
          <w:b/>
          <w:sz w:val="28"/>
          <w:szCs w:val="28"/>
        </w:rPr>
      </w:pPr>
      <w:r w:rsidRPr="001925CD">
        <w:rPr>
          <w:rFonts w:ascii="Century Gothic" w:hAnsi="Century Gothic"/>
          <w:noProof/>
        </w:rPr>
        <mc:AlternateContent>
          <mc:Choice Requires="wps">
            <w:drawing>
              <wp:anchor distT="0" distB="0" distL="114300" distR="114300" simplePos="0" relativeHeight="251663360" behindDoc="0" locked="0" layoutInCell="1" allowOverlap="1" wp14:anchorId="267D6175" wp14:editId="66CC391A">
                <wp:simplePos x="0" y="0"/>
                <wp:positionH relativeFrom="column">
                  <wp:posOffset>-48260</wp:posOffset>
                </wp:positionH>
                <wp:positionV relativeFrom="paragraph">
                  <wp:posOffset>353060</wp:posOffset>
                </wp:positionV>
                <wp:extent cx="4445000" cy="703580"/>
                <wp:effectExtent l="3175" t="1905" r="0" b="0"/>
                <wp:wrapSquare wrapText="bothSides"/>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5000" cy="703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A83409" w14:textId="77777777" w:rsidR="001B5C8C" w:rsidRDefault="001B5C8C" w:rsidP="001B5C8C">
                            <w:pPr>
                              <w:rPr>
                                <w:rFonts w:ascii="Calibri" w:hAnsi="Calibri" w:cs="Arial"/>
                                <w:sz w:val="20"/>
                                <w:szCs w:val="20"/>
                              </w:rPr>
                            </w:pPr>
                            <w:r>
                              <w:rPr>
                                <w:rFonts w:ascii="Calibri" w:hAnsi="Calibri" w:cs="Arial"/>
                                <w:sz w:val="20"/>
                                <w:szCs w:val="20"/>
                              </w:rPr>
                              <w:t>Cf Norme NF DTU 24.1 et CPT 3627</w:t>
                            </w:r>
                          </w:p>
                          <w:p w14:paraId="5BE14171" w14:textId="77777777" w:rsidR="001B5C8C" w:rsidRPr="008E1D17" w:rsidRDefault="001B5C8C" w:rsidP="001B5C8C">
                            <w:pPr>
                              <w:rPr>
                                <w:rFonts w:ascii="Calibri" w:hAnsi="Calibri" w:cs="Arial"/>
                                <w:sz w:val="20"/>
                                <w:szCs w:val="20"/>
                              </w:rPr>
                            </w:pPr>
                            <w:r w:rsidRPr="008E1D17">
                              <w:rPr>
                                <w:rFonts w:ascii="Calibri" w:hAnsi="Calibri" w:cs="Arial"/>
                                <w:sz w:val="20"/>
                                <w:szCs w:val="20"/>
                              </w:rPr>
                              <w:t>Tous les éléments sont titulaires d’un marquage CE selon norme EN 14471</w:t>
                            </w:r>
                          </w:p>
                          <w:p w14:paraId="6B9875C6" w14:textId="77777777" w:rsidR="001B5C8C" w:rsidRPr="008E1D17" w:rsidRDefault="001B5C8C" w:rsidP="001B5C8C">
                            <w:pPr>
                              <w:rPr>
                                <w:rFonts w:ascii="Calibri" w:hAnsi="Calibri" w:cs="Arial"/>
                                <w:sz w:val="20"/>
                                <w:szCs w:val="20"/>
                              </w:rPr>
                            </w:pPr>
                            <w:r w:rsidRPr="008E1D17">
                              <w:rPr>
                                <w:rFonts w:ascii="Calibri" w:hAnsi="Calibri" w:cs="Arial"/>
                                <w:sz w:val="20"/>
                                <w:szCs w:val="20"/>
                              </w:rPr>
                              <w:t>Le calcul du dimensionnement du système est effectué selon norme EN 13384 -2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7D6175" id="Zone de texte 4" o:spid="_x0000_s1027" type="#_x0000_t202" style="position:absolute;left:0;text-align:left;margin-left:-3.8pt;margin-top:27.8pt;width:350pt;height:5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" stroked="f">
                <v:textbox>
                  <w:txbxContent>
                    <w:p w14:paraId="7CA83409" w14:textId="77777777" w:rsidR="001B5C8C" w:rsidRDefault="001B5C8C" w:rsidP="001B5C8C">
                      <w:pPr>
                        <w:rPr>
                          <w:rFonts w:ascii="Calibri" w:hAnsi="Calibri" w:cs="Arial"/>
                          <w:sz w:val="20"/>
                          <w:szCs w:val="20"/>
                        </w:rPr>
                      </w:pPr>
                      <w:r>
                        <w:rPr>
                          <w:rFonts w:ascii="Calibri" w:hAnsi="Calibri" w:cs="Arial"/>
                          <w:sz w:val="20"/>
                          <w:szCs w:val="20"/>
                        </w:rPr>
                        <w:t>Cf Norme NF DTU 24.1 et CPT 3627</w:t>
                      </w:r>
                    </w:p>
                    <w:p w14:paraId="5BE14171" w14:textId="77777777" w:rsidR="001B5C8C" w:rsidRPr="008E1D17" w:rsidRDefault="001B5C8C" w:rsidP="001B5C8C">
                      <w:pPr>
                        <w:rPr>
                          <w:rFonts w:ascii="Calibri" w:hAnsi="Calibri" w:cs="Arial"/>
                          <w:sz w:val="20"/>
                          <w:szCs w:val="20"/>
                        </w:rPr>
                      </w:pPr>
                      <w:r w:rsidRPr="008E1D17">
                        <w:rPr>
                          <w:rFonts w:ascii="Calibri" w:hAnsi="Calibri" w:cs="Arial"/>
                          <w:sz w:val="20"/>
                          <w:szCs w:val="20"/>
                        </w:rPr>
                        <w:t>Tous les éléments sont titulaires d’un marquage CE selon norme EN 14471</w:t>
                      </w:r>
                    </w:p>
                    <w:p w14:paraId="6B9875C6" w14:textId="77777777" w:rsidR="001B5C8C" w:rsidRPr="008E1D17" w:rsidRDefault="001B5C8C" w:rsidP="001B5C8C">
                      <w:pPr>
                        <w:rPr>
                          <w:rFonts w:ascii="Calibri" w:hAnsi="Calibri" w:cs="Arial"/>
                          <w:sz w:val="20"/>
                          <w:szCs w:val="20"/>
                        </w:rPr>
                      </w:pPr>
                      <w:r w:rsidRPr="008E1D17">
                        <w:rPr>
                          <w:rFonts w:ascii="Calibri" w:hAnsi="Calibri" w:cs="Arial"/>
                          <w:sz w:val="20"/>
                          <w:szCs w:val="20"/>
                        </w:rPr>
                        <w:t>Le calcul du dimensionnement du système est effectué selon norme EN 13384 -2</w:t>
                      </w:r>
                    </w:p>
                  </w:txbxContent>
                </v:textbox>
                <w10:wrap type="square"/>
              </v:shape>
            </w:pict>
          </mc:Fallback>
        </mc:AlternateContent>
      </w:r>
      <w:r w:rsidRPr="001925CD">
        <w:rPr>
          <w:rFonts w:ascii="Century Gothic" w:hAnsi="Century Gothic"/>
          <w:b/>
          <w:bCs/>
          <w:noProof/>
          <w:color w:val="CB2D2F"/>
          <w:sz w:val="18"/>
          <w:szCs w:val="18"/>
        </w:rPr>
        <w:drawing>
          <wp:anchor distT="0" distB="0" distL="114300" distR="114300" simplePos="0" relativeHeight="251662336" behindDoc="0" locked="0" layoutInCell="1" allowOverlap="1" wp14:anchorId="1E1CF765" wp14:editId="467F630C">
            <wp:simplePos x="0" y="0"/>
            <wp:positionH relativeFrom="margin">
              <wp:posOffset>-170180</wp:posOffset>
            </wp:positionH>
            <wp:positionV relativeFrom="margin">
              <wp:posOffset>9714230</wp:posOffset>
            </wp:positionV>
            <wp:extent cx="594995" cy="511810"/>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59499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25CD">
        <w:rPr>
          <w:rFonts w:ascii="Arial" w:hAnsi="Arial" w:cs="Arial"/>
          <w:b/>
          <w:color w:val="7F7F7F"/>
          <w:sz w:val="40"/>
          <w:szCs w:val="40"/>
        </w:rPr>
        <w:t>˃</w:t>
      </w:r>
      <w:r w:rsidRPr="001925CD">
        <w:rPr>
          <w:rFonts w:ascii="Century Gothic" w:hAnsi="Century Gothic" w:cs="Calibri"/>
          <w:b/>
          <w:sz w:val="28"/>
          <w:szCs w:val="28"/>
        </w:rPr>
        <w:t xml:space="preserve"> </w:t>
      </w:r>
      <w:r w:rsidRPr="001925CD">
        <w:rPr>
          <w:rFonts w:ascii="Century Gothic" w:hAnsi="Century Gothic" w:cs="Calibri"/>
          <w:b/>
          <w:sz w:val="26"/>
          <w:szCs w:val="26"/>
        </w:rPr>
        <w:t>RÉGLEMENTATION ET INSTALLATION</w:t>
      </w:r>
    </w:p>
    <w:p w14:paraId="4A4C8832" w14:textId="380A7EA6" w:rsidR="00F9138C" w:rsidRDefault="001B5C8C">
      <w:r>
        <w:rPr>
          <w:noProof/>
        </w:rPr>
        <w:drawing>
          <wp:anchor distT="0" distB="0" distL="114300" distR="114300" simplePos="0" relativeHeight="251658240" behindDoc="0" locked="0" layoutInCell="1" allowOverlap="1" wp14:anchorId="00D513C9" wp14:editId="398EDFAD">
            <wp:simplePos x="0" y="0"/>
            <wp:positionH relativeFrom="margin">
              <wp:align>center</wp:align>
            </wp:positionH>
            <wp:positionV relativeFrom="paragraph">
              <wp:posOffset>1826895</wp:posOffset>
            </wp:positionV>
            <wp:extent cx="2004295" cy="207899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295" cy="20789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925CD">
        <w:rPr>
          <w:rFonts w:ascii="Century Gothic" w:hAnsi="Century Gothic"/>
          <w:noProof/>
        </w:rPr>
        <mc:AlternateContent>
          <mc:Choice Requires="wps">
            <w:drawing>
              <wp:anchor distT="0" distB="0" distL="114300" distR="114300" simplePos="0" relativeHeight="251664384" behindDoc="0" locked="0" layoutInCell="1" allowOverlap="1" wp14:anchorId="3310947B" wp14:editId="2A20E4DA">
                <wp:simplePos x="0" y="0"/>
                <wp:positionH relativeFrom="column">
                  <wp:posOffset>-511810</wp:posOffset>
                </wp:positionH>
                <wp:positionV relativeFrom="paragraph">
                  <wp:posOffset>832485</wp:posOffset>
                </wp:positionV>
                <wp:extent cx="6505575" cy="412750"/>
                <wp:effectExtent l="0" t="1905" r="0" b="4445"/>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41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2191DD" w14:textId="77777777" w:rsidR="001B5C8C" w:rsidRPr="00F965AA" w:rsidRDefault="001B5C8C" w:rsidP="001B5C8C">
                            <w:pPr>
                              <w:ind w:left="705"/>
                              <w:rPr>
                                <w:rFonts w:ascii="Calibri" w:hAnsi="Calibri" w:cs="Arial"/>
                                <w:b/>
                                <w:color w:val="808080"/>
                                <w:sz w:val="20"/>
                                <w:szCs w:val="20"/>
                              </w:rPr>
                            </w:pPr>
                            <w:r w:rsidRPr="00F965AA">
                              <w:rPr>
                                <w:rFonts w:ascii="Calibri" w:hAnsi="Calibri" w:cs="Arial"/>
                                <w:b/>
                                <w:color w:val="808080"/>
                                <w:sz w:val="20"/>
                                <w:szCs w:val="20"/>
                              </w:rPr>
                              <w:t>Pour tout complément d’information, le Bureau d’études intégré Ubbink se tient à votre disposition au 02.51.13.84.82, be@ubbink.fr</w:t>
                            </w:r>
                          </w:p>
                          <w:p w14:paraId="65E583C7" w14:textId="77777777" w:rsidR="001B5C8C" w:rsidRPr="00D45E55" w:rsidRDefault="001B5C8C" w:rsidP="001B5C8C">
                            <w:pPr>
                              <w:jc w:val="both"/>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0947B" id="Zone de texte 3" o:spid="_x0000_s1028" type="#_x0000_t202" style="position:absolute;margin-left:-40.3pt;margin-top:65.55pt;width:512.25pt;height: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" stroked="f">
                <v:textbox>
                  <w:txbxContent>
                    <w:p w14:paraId="1F2191DD" w14:textId="77777777" w:rsidR="001B5C8C" w:rsidRPr="00F965AA" w:rsidRDefault="001B5C8C" w:rsidP="001B5C8C">
                      <w:pPr>
                        <w:ind w:left="705"/>
                        <w:rPr>
                          <w:rFonts w:ascii="Calibri" w:hAnsi="Calibri" w:cs="Arial"/>
                          <w:b/>
                          <w:color w:val="808080"/>
                          <w:sz w:val="20"/>
                          <w:szCs w:val="20"/>
                        </w:rPr>
                      </w:pPr>
                      <w:r w:rsidRPr="00F965AA">
                        <w:rPr>
                          <w:rFonts w:ascii="Calibri" w:hAnsi="Calibri" w:cs="Arial"/>
                          <w:b/>
                          <w:color w:val="808080"/>
                          <w:sz w:val="20"/>
                          <w:szCs w:val="20"/>
                        </w:rPr>
                        <w:t>Pour tout complément d’information, le Bureau d’études intégré Ubbink se tient à votre disposition au 02.51.13.84.82, be@ubbink.fr</w:t>
                      </w:r>
                    </w:p>
                    <w:p w14:paraId="65E583C7" w14:textId="77777777" w:rsidR="001B5C8C" w:rsidRPr="00D45E55" w:rsidRDefault="001B5C8C" w:rsidP="001B5C8C">
                      <w:pPr>
                        <w:jc w:val="both"/>
                        <w:rPr>
                          <w:rFonts w:ascii="Calibri" w:hAnsi="Calibri" w:cs="Calibri"/>
                          <w:sz w:val="20"/>
                          <w:szCs w:val="20"/>
                        </w:rPr>
                      </w:pPr>
                    </w:p>
                  </w:txbxContent>
                </v:textbox>
                <w10:wrap type="square"/>
              </v:shape>
            </w:pict>
          </mc:Fallback>
        </mc:AlternateContent>
      </w:r>
    </w:p>
    <w:sectPr w:rsidR="00F91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C1340"/>
    <w:multiLevelType w:val="hybridMultilevel"/>
    <w:tmpl w:val="752CB4B2"/>
    <w:lvl w:ilvl="0" w:tplc="44D280F4">
      <w:start w:val="1"/>
      <w:numFmt w:val="bullet"/>
      <w:lvlText w:val=""/>
      <w:lvlJc w:val="left"/>
      <w:pPr>
        <w:tabs>
          <w:tab w:val="num" w:pos="720"/>
        </w:tabs>
        <w:ind w:left="720" w:hanging="360"/>
      </w:pPr>
      <w:rPr>
        <w:rFonts w:ascii="Wingdings" w:hAnsi="Wingdings" w:hint="default"/>
        <w:color w:val="7F7F7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C561BF"/>
    <w:multiLevelType w:val="hybridMultilevel"/>
    <w:tmpl w:val="37064206"/>
    <w:lvl w:ilvl="0" w:tplc="44D280F4">
      <w:start w:val="1"/>
      <w:numFmt w:val="bullet"/>
      <w:lvlText w:val=""/>
      <w:lvlJc w:val="left"/>
      <w:pPr>
        <w:tabs>
          <w:tab w:val="num" w:pos="720"/>
        </w:tabs>
        <w:ind w:left="720" w:hanging="360"/>
      </w:pPr>
      <w:rPr>
        <w:rFonts w:ascii="Wingdings" w:hAnsi="Wingdings" w:hint="default"/>
        <w:color w:val="7F7F7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97544"/>
    <w:multiLevelType w:val="hybridMultilevel"/>
    <w:tmpl w:val="03EE2142"/>
    <w:lvl w:ilvl="0" w:tplc="44D280F4">
      <w:start w:val="1"/>
      <w:numFmt w:val="bullet"/>
      <w:lvlText w:val=""/>
      <w:lvlJc w:val="left"/>
      <w:pPr>
        <w:ind w:left="720" w:hanging="360"/>
      </w:pPr>
      <w:rPr>
        <w:rFonts w:ascii="Wingdings" w:hAnsi="Wingdings" w:hint="default"/>
        <w:color w:val="7F7F7F"/>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7557125">
    <w:abstractNumId w:val="1"/>
  </w:num>
  <w:num w:numId="2" w16cid:durableId="643238820">
    <w:abstractNumId w:val="0"/>
  </w:num>
  <w:num w:numId="3" w16cid:durableId="141382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8C"/>
    <w:rsid w:val="001B5C8C"/>
    <w:rsid w:val="00557A3A"/>
    <w:rsid w:val="00F913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76F7BF9"/>
  <w15:chartTrackingRefBased/>
  <w15:docId w15:val="{88768605-CB9C-4395-AB78-229C825F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8C"/>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2145</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Lantheaume, Angelique (UB-FR)</dc:creator>
  <cp:keywords/>
  <dc:description/>
  <cp:lastModifiedBy>Lantheaume, Angelique (UB-FR)</cp:lastModifiedBy>
  <cp:revision>2</cp:revision>
  <dcterms:created xsi:type="dcterms:W3CDTF">2022-06-02T08:58:00Z</dcterms:created>
  <dcterms:modified xsi:type="dcterms:W3CDTF">2022-06-02T09:00:00Z</dcterms:modified>
</cp:coreProperties>
</file>